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798"/>
        <w:gridCol w:w="5206"/>
      </w:tblGrid>
      <w:tr w:rsidR="006F4705" w:rsidRPr="006F4705" w:rsidTr="006F4705">
        <w:trPr>
          <w:tblCellSpacing w:w="0" w:type="dxa"/>
        </w:trPr>
        <w:tc>
          <w:tcPr>
            <w:tcW w:w="3798" w:type="dxa"/>
            <w:tcMar>
              <w:top w:w="0" w:type="dxa"/>
              <w:left w:w="108" w:type="dxa"/>
              <w:bottom w:w="0" w:type="dxa"/>
              <w:right w:w="108" w:type="dxa"/>
            </w:tcMar>
            <w:hideMark/>
          </w:tcPr>
          <w:p w:rsidR="006F4705" w:rsidRPr="006F4705" w:rsidRDefault="006F4705">
            <w:pPr>
              <w:spacing w:before="100" w:beforeAutospacing="1" w:after="120"/>
              <w:jc w:val="center"/>
            </w:pPr>
            <w:r w:rsidRPr="006F4705">
              <w:rPr>
                <w:b/>
                <w:bCs/>
              </w:rPr>
              <w:t>ỦY BAN NHÂN DÂN</w:t>
            </w:r>
            <w:r w:rsidRPr="006F4705">
              <w:rPr>
                <w:b/>
                <w:bCs/>
              </w:rPr>
              <w:br/>
              <w:t>THÀNH PHỐ HỒ CHÍ MINH</w:t>
            </w:r>
            <w:r w:rsidRPr="006F4705">
              <w:rPr>
                <w:b/>
                <w:bCs/>
              </w:rPr>
              <w:br/>
              <w:t>-------</w:t>
            </w:r>
          </w:p>
        </w:tc>
        <w:tc>
          <w:tcPr>
            <w:tcW w:w="5206" w:type="dxa"/>
            <w:tcMar>
              <w:top w:w="0" w:type="dxa"/>
              <w:left w:w="108" w:type="dxa"/>
              <w:bottom w:w="0" w:type="dxa"/>
              <w:right w:w="108" w:type="dxa"/>
            </w:tcMar>
            <w:hideMark/>
          </w:tcPr>
          <w:p w:rsidR="006F4705" w:rsidRPr="006F4705" w:rsidRDefault="006F4705">
            <w:pPr>
              <w:spacing w:before="100" w:beforeAutospacing="1" w:after="120"/>
              <w:jc w:val="center"/>
            </w:pPr>
            <w:r w:rsidRPr="006F4705">
              <w:rPr>
                <w:b/>
                <w:bCs/>
              </w:rPr>
              <w:t>CỘNG HÒA XÃ HỘI CHỦ NGHĨA VIỆT NAM</w:t>
            </w:r>
            <w:r w:rsidRPr="006F4705">
              <w:rPr>
                <w:b/>
                <w:bCs/>
              </w:rPr>
              <w:br/>
              <w:t>Độc lập – Tự do – Hạnh phúc</w:t>
            </w:r>
            <w:r w:rsidRPr="006F4705">
              <w:rPr>
                <w:b/>
                <w:bCs/>
              </w:rPr>
              <w:br/>
              <w:t>----------</w:t>
            </w:r>
          </w:p>
        </w:tc>
      </w:tr>
      <w:tr w:rsidR="006F4705" w:rsidRPr="006F4705" w:rsidTr="006F4705">
        <w:trPr>
          <w:tblCellSpacing w:w="0" w:type="dxa"/>
        </w:trPr>
        <w:tc>
          <w:tcPr>
            <w:tcW w:w="3798" w:type="dxa"/>
            <w:tcMar>
              <w:top w:w="0" w:type="dxa"/>
              <w:left w:w="108" w:type="dxa"/>
              <w:bottom w:w="0" w:type="dxa"/>
              <w:right w:w="108" w:type="dxa"/>
            </w:tcMar>
            <w:hideMark/>
          </w:tcPr>
          <w:p w:rsidR="006F4705" w:rsidRPr="006F4705" w:rsidRDefault="006F4705">
            <w:pPr>
              <w:spacing w:before="100" w:beforeAutospacing="1" w:after="120"/>
              <w:jc w:val="center"/>
            </w:pPr>
            <w:r w:rsidRPr="006F4705">
              <w:t>Số: 10/2009/CT-UBND</w:t>
            </w:r>
          </w:p>
        </w:tc>
        <w:tc>
          <w:tcPr>
            <w:tcW w:w="5206" w:type="dxa"/>
            <w:tcMar>
              <w:top w:w="0" w:type="dxa"/>
              <w:left w:w="108" w:type="dxa"/>
              <w:bottom w:w="0" w:type="dxa"/>
              <w:right w:w="108" w:type="dxa"/>
            </w:tcMar>
            <w:hideMark/>
          </w:tcPr>
          <w:p w:rsidR="006F4705" w:rsidRPr="006F4705" w:rsidRDefault="006F4705">
            <w:pPr>
              <w:spacing w:before="100" w:beforeAutospacing="1" w:after="120"/>
              <w:jc w:val="right"/>
            </w:pPr>
            <w:r w:rsidRPr="006F4705">
              <w:rPr>
                <w:i/>
                <w:iCs/>
              </w:rPr>
              <w:t>TP. Hồ Chí Minh, ngày 18 tháng 5 năm 2009</w:t>
            </w:r>
          </w:p>
        </w:tc>
      </w:tr>
    </w:tbl>
    <w:p w:rsidR="006F4705" w:rsidRPr="006F4705" w:rsidRDefault="006F4705" w:rsidP="006F4705">
      <w:pPr>
        <w:spacing w:before="100" w:beforeAutospacing="1" w:after="120"/>
      </w:pPr>
      <w:r w:rsidRPr="006F4705">
        <w:t> </w:t>
      </w:r>
    </w:p>
    <w:p w:rsidR="006F4705" w:rsidRPr="006F4705" w:rsidRDefault="006F4705" w:rsidP="006F4705">
      <w:pPr>
        <w:spacing w:before="100" w:beforeAutospacing="1" w:after="120"/>
        <w:jc w:val="center"/>
      </w:pPr>
      <w:r w:rsidRPr="006F4705">
        <w:rPr>
          <w:b/>
          <w:bCs/>
        </w:rPr>
        <w:t>CHỈ THỊ</w:t>
      </w:r>
    </w:p>
    <w:p w:rsidR="006F4705" w:rsidRPr="006F4705" w:rsidRDefault="006F4705" w:rsidP="006F4705">
      <w:pPr>
        <w:spacing w:before="100" w:beforeAutospacing="1" w:after="120"/>
        <w:jc w:val="center"/>
      </w:pPr>
      <w:r w:rsidRPr="006F4705">
        <w:t>VỀ TĂNG CƯỜNG QUẢN LÝ NHÀ NƯỚC ĐỐI VỚI VŨ KHÍ, VẬT LIỆU NỔ VÀ CÔNG CỤ HỖ TRỢ TRÊN ĐỊA BÀN THÀNH PHỐ HỒ CHÍ MINH</w:t>
      </w:r>
    </w:p>
    <w:p w:rsidR="006F4705" w:rsidRPr="006F4705" w:rsidRDefault="006F4705" w:rsidP="006F4705">
      <w:pPr>
        <w:spacing w:before="100" w:beforeAutospacing="1" w:after="120"/>
      </w:pPr>
      <w:r w:rsidRPr="006F4705">
        <w:t xml:space="preserve">Thực hiện Nghị định số 47/CP ngày 12 tháng 8 năm 1996 của Chính phủ về quản lý vũ khí, vật </w:t>
      </w:r>
      <w:bookmarkStart w:id="0" w:name="_GoBack"/>
      <w:bookmarkEnd w:id="0"/>
      <w:r w:rsidRPr="006F4705">
        <w:t>liệu nổ và công cụ hỗ trợ; Ủy ban nhân dân thành phố đã ban hành Chỉ thị số 33/CT-UB-NCVX ngày 14 tháng 10 năm 1996 và nhiều văn bản khác để triển khai thực hiện công tác quản lý vũ khí, vật liệu nổ và công cụ hỗ trợ trên địa bàn thành phố. Tính từ năm 1996 đến năm 2008, các sở, ban ngành, Mặt trận Tổ quốc, các đoàn thể và Ủy ban nhân dân quận, huyện đã tuyên truyền vận động nhân dân tự giác giao nộp cho chính quyền địa phương nhiều loại vũ khí quân dụng, vũ khí thể thao, công cụ hỗ trợ, bom mìn, thuốc nổ, kíp nổ và các vũ khí thô sơ khác. Công an thành phố đã phối hợp với Bộ Chỉ huy Quân sự thành phố và các ngành chức năng khác tổ chức kiểm tra, phát hiện thu giữ nhiều vũ khí quân dụng, vũ khí thô sơ, vật liệu nổ, công cụ hỗ trợ do tàng trữ, sử dụng trái phép, góp phần đảm bảo tốt tình hình an ninh chính trị và trật tự an toàn xã hội trên địa bàn thành phố.</w:t>
      </w:r>
    </w:p>
    <w:p w:rsidR="006F4705" w:rsidRPr="006F4705" w:rsidRDefault="006F4705" w:rsidP="006F4705">
      <w:pPr>
        <w:spacing w:before="100" w:beforeAutospacing="1" w:after="120"/>
      </w:pPr>
      <w:r w:rsidRPr="006F4705">
        <w:t xml:space="preserve">Tuy nhiên, trong thời gian qua tình hình mua bán, tàng trữ, vận chuyển và sử dụng vũ khí, vật liệu nổ, công cụ hỗ trợ vẫn còn diễn biến phức tạp trên địa bàn thành phố, nhất là tình trạng vận chuyển, buôn bán, tàng trữ và sử dụng vật liệu nổ trái phép và tình hình tội phạm sử dụng vũ khí để gây án cướp tiền, vàng của tiệm vàng và của người rút tiền từ ngân hàng… </w:t>
      </w:r>
    </w:p>
    <w:p w:rsidR="006F4705" w:rsidRPr="006F4705" w:rsidRDefault="006F4705" w:rsidP="006F4705">
      <w:pPr>
        <w:spacing w:before="100" w:beforeAutospacing="1" w:after="120"/>
      </w:pPr>
      <w:r w:rsidRPr="006F4705">
        <w:t xml:space="preserve">Để tăng cường công tác quản lý nhà nước đối với vũ khí, vật liệu nổ, công cụ hỗ trợ trên địa bàn thành phố trong thời gian tới, Ủy ban nhân dân thành phố chỉ thị: </w:t>
      </w:r>
    </w:p>
    <w:p w:rsidR="006F4705" w:rsidRPr="006F4705" w:rsidRDefault="006F4705" w:rsidP="006F4705">
      <w:pPr>
        <w:spacing w:before="100" w:beforeAutospacing="1" w:after="120"/>
      </w:pPr>
      <w:r w:rsidRPr="006F4705">
        <w:t xml:space="preserve">1. Giao Công an thành phố phối hợp Bộ Chỉ huy Quân sự thành phố tổ chức liên tục nhiều đợt kiểm tra, tổng kiểm tra, rà soát, thống kê, lập danh sách tất cả các cơ quan, xí nghiệp, cá nhân được trang bị, sử dụng vũ khí, vật liệu nổ và công cụ hỗ trợ do Công an và Quân sự cấp phép sử dụng. Qua đó, </w:t>
      </w:r>
      <w:proofErr w:type="gramStart"/>
      <w:r w:rsidRPr="006F4705">
        <w:t>thu</w:t>
      </w:r>
      <w:proofErr w:type="gramEnd"/>
      <w:r w:rsidRPr="006F4705">
        <w:t xml:space="preserve"> hồi tất cả số vũ khí, vật liệu nổ và công cụ hỗ trợ của các đơn vị, cá nhân không thuộc diện được phép trang bị, sử dụng. Sau đợt tổng kiểm tra, </w:t>
      </w:r>
      <w:proofErr w:type="gramStart"/>
      <w:r w:rsidRPr="006F4705">
        <w:t>thu</w:t>
      </w:r>
      <w:proofErr w:type="gramEnd"/>
      <w:r w:rsidRPr="006F4705">
        <w:t xml:space="preserve"> gom, phải tổ chức kiểm tra định kỳ, đột xuất thường xuyên, liên tục theo đúng kế hoạch liên tịch và có báo cáo kết quả về Ủy ban nhân dân thành phố. Trong kế hoạch liên tịch giữa Công </w:t>
      </w:r>
      <w:proofErr w:type="gramStart"/>
      <w:r w:rsidRPr="006F4705">
        <w:t>an</w:t>
      </w:r>
      <w:proofErr w:type="gramEnd"/>
      <w:r w:rsidRPr="006F4705">
        <w:t xml:space="preserve"> thành phố và Bộ Chỉ huy Quân sự thành phố cần chú ý:</w:t>
      </w:r>
    </w:p>
    <w:p w:rsidR="006F4705" w:rsidRPr="006F4705" w:rsidRDefault="006F4705" w:rsidP="006F4705">
      <w:pPr>
        <w:spacing w:before="100" w:beforeAutospacing="1" w:after="120"/>
      </w:pPr>
      <w:r w:rsidRPr="006F4705">
        <w:t xml:space="preserve">1.1. Tổ chức rà soát nắm chắc tình hình, vụ việc, đối tượng liên quan, nghi vấn vận chuyển, tàng trữ, buôn bán vũ khí, vật liệu nổ và công cụ hỗ trợ trái phép để tiến hành điều tra làm rõ hành vi vi phạm và xử lý nghiêm minh theo quy định của pháp luật về hình sự, xử lý hành chính và các pháp luật có liên quan khác. Đồng thời tăng cường kết hợp thực hiện các biện pháp khác nhằm phát huy hiệu quả quản lý nhà nước và kiên quyết đấu tranh chấm dứt hoạt động tàng trữ, buôn bán vũ khí và vật liệu nổ trái phép. </w:t>
      </w:r>
    </w:p>
    <w:p w:rsidR="006F4705" w:rsidRPr="006F4705" w:rsidRDefault="006F4705" w:rsidP="006F4705">
      <w:pPr>
        <w:spacing w:before="100" w:beforeAutospacing="1" w:after="120"/>
      </w:pPr>
      <w:r w:rsidRPr="006F4705">
        <w:lastRenderedPageBreak/>
        <w:t>1.2. Chủ động tổ chức, thông báo các điểm tiếp nhận vũ khí, vật liệu nổ, công cụ hỗ trợ ở từng điểm thích hợp để nhân dân phát hiện, tố giác hoặc giao nộp được nhanh chóng, thuận tiện. Việc giao nhận, phân loại, xử lý phải đúng theo hướng dẫn tại Thông tư liên tịch số 03/1998/TTLT-CA-QP ngày 17 tháng 8 năm 1998 của Bộ Công an và Bộ Quốc phòng về quan hệ, phối hợp trong lĩnh vực quản lý vũ khí, vật liệu nổ và công cụ hỗ trợ.</w:t>
      </w:r>
    </w:p>
    <w:p w:rsidR="006F4705" w:rsidRPr="006F4705" w:rsidRDefault="006F4705" w:rsidP="006F4705">
      <w:pPr>
        <w:spacing w:before="100" w:beforeAutospacing="1" w:after="120"/>
      </w:pPr>
      <w:r w:rsidRPr="006F4705">
        <w:t xml:space="preserve">2. Yêu cầu Thủ trưởng các sở - ngành thành phố, Chủ tịch Ủy ban nhân dân các quận, huyện, phường, xã, thị trấn, người đứng đầu cơ quan, đơn vị, đoàn thể, tổ chức, doanh nghiệp, hộ gia đình… phải có trách nhiệm tự kiểm tra trong phạm vi địa bàn của mình để phát hiện, giao nộp các loại vũ khí, vật liệu nổ và công cụ hỗ trợ trái phép; nếu xảy ra vi phạm, người đứng đầu phải bị xử lý nghiêm theo đúng quy định của pháp luật. </w:t>
      </w:r>
    </w:p>
    <w:p w:rsidR="006F4705" w:rsidRPr="006F4705" w:rsidRDefault="006F4705" w:rsidP="006F4705">
      <w:pPr>
        <w:spacing w:before="100" w:beforeAutospacing="1" w:after="120"/>
      </w:pPr>
      <w:r w:rsidRPr="006F4705">
        <w:t xml:space="preserve">3. Đề nghị Viện Kiểm sát nhân dân, Tòa án nhân dân thành phố và quận, huyện tổ chức đưa ra xét xử lưu động ở khu vực dân cư trọng điểm một số vụ án nghiêm trọng về nhập lậu, buôn bán, vận chuyển, tàng trữ, sản xuất và sử dụng trái phép vũ khí, vật liệu nổ, công cụ hỗ trợ hoặc các vụ án do bọn tội phạm sử dụng vũ khí, vật liệu nổ, công cụ hỗ trợ để gây án. Nhằm răn đe tội phạm và tuyên truyền, giáo dục </w:t>
      </w:r>
      <w:proofErr w:type="gramStart"/>
      <w:r w:rsidRPr="006F4705">
        <w:t>chung</w:t>
      </w:r>
      <w:proofErr w:type="gramEnd"/>
      <w:r w:rsidRPr="006F4705">
        <w:t xml:space="preserve"> trong nhân dân. </w:t>
      </w:r>
    </w:p>
    <w:p w:rsidR="006F4705" w:rsidRPr="006F4705" w:rsidRDefault="006F4705" w:rsidP="006F4705">
      <w:pPr>
        <w:spacing w:before="100" w:beforeAutospacing="1" w:after="120"/>
      </w:pPr>
      <w:r w:rsidRPr="006F4705">
        <w:t>4. Thủ trưởng các sở, ban ngành, Mặt trận Tổ quốc và các đoàn thể, Chủ tịch Ủy ban nhân dân các quận - huyện, phường - xã, thị trấn, các cơ quan thông tin, báo, đài thành phố, tăng cường công tác tuyên truyền sâu rộng trong cán bộ, đảng viên, viên chức và nhân dân về tầm quan trọng của công tác quản lý vũ khí, vật liệu nổ, công cụ hỗ trợ và tác hại của việc tàng trữ, vận chuyển, buôn bán trái phép các loại vũ khí, vật liệu nổ, công cụ hỗ trợ. Kết hợp vận động nhân dân phát hiện, giao nộp vũ khí, vật liệu nổ, công cụ hỗ trợ và tố giác các đối tượng tàng trữ, vận chuyển, mua bán và sử dụng trái phép vũ khí, vật liệu nổ, công cụ hỗ trợ cho chính quyền địa phương. Đồng thời quan tâm vận động cán bộ đảng viên, cán bộ nghỉ hưu, nghỉ mất sức hiện vẫn còn lưu giữ các loại vũ khí, công cụ hỗ trợ, vật liệu nổ (kíp nổ, lựu đạn, đạn…) trực tiếp đem giao nộp hoặc báo tin bằng phương tiện thông tin nhanh và thuận tiện nhất cho cơ quan Công an hoặc Quân sự nơi gần nhất để được hướng dẫn, giúp đỡ, xử lý nhanh và hiệu quả nhất.</w:t>
      </w:r>
    </w:p>
    <w:p w:rsidR="006F4705" w:rsidRPr="006F4705" w:rsidRDefault="006F4705" w:rsidP="006F4705">
      <w:pPr>
        <w:spacing w:before="100" w:beforeAutospacing="1" w:after="120"/>
      </w:pPr>
      <w:r w:rsidRPr="006F4705">
        <w:t>5. Giao Giám đốc Công an thành phố phối hợp Chỉ huy trưởng Bộ Chỉ huy Quân sự thành phố chỉ đạo, kiểm tra, theo dõi, đôn đốc việc triển khai thực hiện Chỉ thị này. Định kỳ hàng quý, 06 tháng, 01 năm, Công an thành phố và Bộ Chỉ huy Quân sự thành phố có báo cáo kết quả thực hiện về Thường trực Ủy ban nhân dân thành phố theo đúng quy định chung.</w:t>
      </w:r>
    </w:p>
    <w:p w:rsidR="006F4705" w:rsidRPr="006F4705" w:rsidRDefault="006F4705" w:rsidP="006F4705">
      <w:pPr>
        <w:spacing w:before="100" w:beforeAutospacing="1" w:after="120"/>
      </w:pPr>
      <w:r w:rsidRPr="006F4705">
        <w:t>6. Chỉ thị này có hiệu lực sau 10 ngày, kể từ ngày ký</w:t>
      </w:r>
      <w:proofErr w:type="gramStart"/>
      <w:r w:rsidRPr="006F4705">
        <w:t>./</w:t>
      </w:r>
      <w:proofErr w:type="gramEnd"/>
      <w:r w:rsidRPr="006F4705">
        <w:t xml:space="preserve">. </w:t>
      </w:r>
    </w:p>
    <w:p w:rsidR="006F4705" w:rsidRPr="006F4705" w:rsidRDefault="006F4705" w:rsidP="006F4705">
      <w:pPr>
        <w:spacing w:before="100" w:beforeAutospacing="1" w:after="120"/>
      </w:pPr>
      <w:r w:rsidRPr="006F4705">
        <w:t> </w:t>
      </w:r>
    </w:p>
    <w:tbl>
      <w:tblPr>
        <w:tblW w:w="0" w:type="auto"/>
        <w:tblCellSpacing w:w="0" w:type="dxa"/>
        <w:tblCellMar>
          <w:left w:w="0" w:type="dxa"/>
          <w:right w:w="0" w:type="dxa"/>
        </w:tblCellMar>
        <w:tblLook w:val="04A0" w:firstRow="1" w:lastRow="0" w:firstColumn="1" w:lastColumn="0" w:noHBand="0" w:noVBand="1"/>
      </w:tblPr>
      <w:tblGrid>
        <w:gridCol w:w="4500"/>
        <w:gridCol w:w="4500"/>
      </w:tblGrid>
      <w:tr w:rsidR="006F4705" w:rsidRPr="006F4705" w:rsidTr="006F4705">
        <w:trPr>
          <w:trHeight w:val="1368"/>
          <w:tblCellSpacing w:w="0" w:type="dxa"/>
        </w:trPr>
        <w:tc>
          <w:tcPr>
            <w:tcW w:w="4500" w:type="dxa"/>
            <w:tcMar>
              <w:top w:w="0" w:type="dxa"/>
              <w:left w:w="108" w:type="dxa"/>
              <w:bottom w:w="0" w:type="dxa"/>
              <w:right w:w="108" w:type="dxa"/>
            </w:tcMar>
            <w:hideMark/>
          </w:tcPr>
          <w:p w:rsidR="006F4705" w:rsidRPr="006F4705" w:rsidRDefault="006F4705">
            <w:pPr>
              <w:spacing w:before="100" w:beforeAutospacing="1" w:after="120"/>
            </w:pPr>
            <w:r w:rsidRPr="006F4705">
              <w:t> </w:t>
            </w:r>
          </w:p>
        </w:tc>
        <w:tc>
          <w:tcPr>
            <w:tcW w:w="4500" w:type="dxa"/>
            <w:tcMar>
              <w:top w:w="0" w:type="dxa"/>
              <w:left w:w="108" w:type="dxa"/>
              <w:bottom w:w="0" w:type="dxa"/>
              <w:right w:w="108" w:type="dxa"/>
            </w:tcMar>
            <w:hideMark/>
          </w:tcPr>
          <w:p w:rsidR="006F4705" w:rsidRPr="006F4705" w:rsidRDefault="006F4705">
            <w:pPr>
              <w:spacing w:before="100" w:beforeAutospacing="1" w:after="120"/>
              <w:jc w:val="center"/>
            </w:pPr>
            <w:r w:rsidRPr="006F4705">
              <w:rPr>
                <w:b/>
                <w:bCs/>
              </w:rPr>
              <w:t>TM. ỦY BAN NHÂN DÂN</w:t>
            </w:r>
            <w:r w:rsidRPr="006F4705">
              <w:rPr>
                <w:b/>
                <w:bCs/>
              </w:rPr>
              <w:br/>
              <w:t>CHỦ TỊCH</w:t>
            </w:r>
            <w:r w:rsidRPr="006F4705">
              <w:rPr>
                <w:b/>
                <w:bCs/>
              </w:rPr>
              <w:br/>
            </w:r>
            <w:r w:rsidRPr="006F4705">
              <w:rPr>
                <w:b/>
                <w:bCs/>
              </w:rPr>
              <w:br/>
            </w:r>
            <w:r w:rsidRPr="006F4705">
              <w:rPr>
                <w:b/>
                <w:bCs/>
              </w:rPr>
              <w:br/>
            </w:r>
            <w:r w:rsidRPr="006F4705">
              <w:rPr>
                <w:b/>
                <w:bCs/>
              </w:rPr>
              <w:br/>
            </w:r>
            <w:r w:rsidRPr="006F4705">
              <w:rPr>
                <w:b/>
                <w:bCs/>
              </w:rPr>
              <w:br/>
              <w:t>Lê Hoàng Quân</w:t>
            </w:r>
          </w:p>
        </w:tc>
      </w:tr>
    </w:tbl>
    <w:p w:rsidR="003012C8" w:rsidRPr="006F4705" w:rsidRDefault="003012C8"/>
    <w:sectPr w:rsidR="003012C8" w:rsidRPr="006F4705" w:rsidSect="006F4705">
      <w:pgSz w:w="12240" w:h="15840"/>
      <w:pgMar w:top="720" w:right="1440"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BB2"/>
    <w:rsid w:val="003012C8"/>
    <w:rsid w:val="006F4705"/>
    <w:rsid w:val="00747AEC"/>
    <w:rsid w:val="00C53CFC"/>
    <w:rsid w:val="00CA3BB2"/>
    <w:rsid w:val="00EE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2DFEC-4B28-49CC-BE37-605446510FDA}"/>
</file>

<file path=customXml/itemProps2.xml><?xml version="1.0" encoding="utf-8"?>
<ds:datastoreItem xmlns:ds="http://schemas.openxmlformats.org/officeDocument/2006/customXml" ds:itemID="{3D3C338C-D875-4478-8FBB-7D0E9121FD04}"/>
</file>

<file path=customXml/itemProps3.xml><?xml version="1.0" encoding="utf-8"?>
<ds:datastoreItem xmlns:ds="http://schemas.openxmlformats.org/officeDocument/2006/customXml" ds:itemID="{43D534C6-CC56-4EA4-AC26-97B804E4200C}"/>
</file>

<file path=docProps/app.xml><?xml version="1.0" encoding="utf-8"?>
<Properties xmlns="http://schemas.openxmlformats.org/officeDocument/2006/extended-properties" xmlns:vt="http://schemas.openxmlformats.org/officeDocument/2006/docPropsVTypes">
  <Template>Normal.dotm</Template>
  <TotalTime>11</TotalTime>
  <Pages>2</Pages>
  <Words>860</Words>
  <Characters>4905</Characters>
  <Application>Microsoft Office Word</Application>
  <DocSecurity>0</DocSecurity>
  <Lines>40</Lines>
  <Paragraphs>11</Paragraphs>
  <ScaleCrop>false</ScaleCrop>
  <Company>VN</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ktvb3</dc:creator>
  <cp:keywords/>
  <dc:description/>
  <cp:lastModifiedBy>ktvb3</cp:lastModifiedBy>
  <cp:revision>2</cp:revision>
  <dcterms:created xsi:type="dcterms:W3CDTF">2015-07-08T08:33:00Z</dcterms:created>
  <dcterms:modified xsi:type="dcterms:W3CDTF">2015-07-08T08:44:00Z</dcterms:modified>
</cp:coreProperties>
</file>